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ED3" w:rsidRPr="00320ED3" w:rsidRDefault="00320ED3" w:rsidP="00320ED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320E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Barrels!</w:t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Hello. Its Fungus again with more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tutorial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Now were making barrels.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Brrels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explode, barrels that leak oil, and barrels that leak water. </w:t>
      </w:r>
      <w:proofErr w:type="spellStart"/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start with the water barrels.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Ill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show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a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screenie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4320540"/>
            <wp:effectExtent l="0" t="0" r="0" b="3810"/>
            <wp:docPr id="4" name="Picture 4" descr="http://gronnevik.se/rjukan/uploads/Main/boom2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ronnevik.se/rjukan/uploads/Main/boom2.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Cool eh? </w:t>
      </w:r>
      <w:proofErr w:type="spellStart"/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going to show you how.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First make a square brush about the height and width of a normal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barrel(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about 40x40x64) Now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goto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r w:rsidRPr="00320ED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BRUSH</w:t>
      </w: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button in Radiant and click </w:t>
      </w:r>
      <w:proofErr w:type="spellStart"/>
      <w:r w:rsidRPr="00320ED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Abritary</w:t>
      </w:r>
      <w:proofErr w:type="spellEnd"/>
      <w:r w:rsidRPr="00320ED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Sided</w:t>
      </w: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30 is about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right.Select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brush and right click.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Goto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barrel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of COURSE) Now in the texture bar (the one under the tool bar) type rusted. Or go to "general industrial" to get a barrel texture.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adjust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texture to about right.(i used the green 1 :) )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for the key/values.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"/>
        <w:gridCol w:w="946"/>
      </w:tblGrid>
      <w:tr w:rsidR="00320ED3" w:rsidRPr="00320ED3" w:rsidTr="00320E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320ED3" w:rsidRPr="00320ED3" w:rsidTr="00320E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barreltype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water</w:t>
            </w:r>
          </w:p>
        </w:tc>
      </w:tr>
    </w:tbl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pretty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simple eh?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well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telling you how to make a barrel that spills OIL </w:t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4320540"/>
            <wp:effectExtent l="0" t="0" r="0" b="3810"/>
            <wp:docPr id="5" name="Picture 5" descr="http://gronnevik.se/rjukan/uploads/Main/boom3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ronnevik.se/rjukan/uploads/Main/boom3.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Cool eh? Do the same thing as the green one except you should change the texture to tell the barrels apart and change the key/values.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"/>
        <w:gridCol w:w="946"/>
      </w:tblGrid>
      <w:tr w:rsidR="00320ED3" w:rsidRPr="00320ED3" w:rsidTr="00320E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320ED3" w:rsidRPr="00320ED3" w:rsidTr="00320E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barreltype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oil</w:t>
            </w:r>
          </w:p>
        </w:tc>
      </w:tr>
    </w:tbl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Heh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 another barrel. Shall we? :) enjoy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youre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new oil barrel. </w:t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lastly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 an </w:t>
      </w:r>
      <w:r w:rsidRPr="00320ED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EXPLOSIVE</w:t>
      </w: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barrel! </w:t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4320540"/>
            <wp:effectExtent l="0" t="0" r="0" b="3810"/>
            <wp:docPr id="6" name="Picture 6" descr="http://gronnevik.se/rjukan/uploads/Main/boom1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ronnevik.se/rjukan/uploads/Main/boom1.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Sweet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aint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it! </w:t>
      </w:r>
      <w:proofErr w:type="spellStart"/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youll</w:t>
      </w:r>
      <w:proofErr w:type="spellEnd"/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kill yourself if you get too close. </w:t>
      </w:r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</w:t>
      </w:r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create one, make the brush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blhah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abritary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sides,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balh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blah texture it, blah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blah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 Ok now for the key values!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"/>
        <w:gridCol w:w="946"/>
      </w:tblGrid>
      <w:tr w:rsidR="00320ED3" w:rsidRPr="00320ED3" w:rsidTr="00320E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320ED3" w:rsidRPr="00320ED3" w:rsidTr="00320E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barreltype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0ED3" w:rsidRPr="00320ED3" w:rsidRDefault="00320ED3" w:rsidP="0032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0ED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gas</w:t>
            </w:r>
          </w:p>
        </w:tc>
      </w:tr>
    </w:tbl>
    <w:p w:rsid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...looks like the barrel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shouldnt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eaten that hot lead. LOL </w:t>
      </w:r>
    </w:p>
    <w:p w:rsidR="006F1587" w:rsidRDefault="006F1587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F1587" w:rsidRDefault="006F1587" w:rsidP="006F1587">
      <w:pPr>
        <w:pStyle w:val="Heading2"/>
      </w:pPr>
      <w:r>
        <w:t>Spawnflags</w:t>
      </w:r>
    </w:p>
    <w:p w:rsidR="006F1587" w:rsidRDefault="006F1587" w:rsidP="006F1587">
      <w:r w:rsidRPr="006F1587">
        <w:rPr>
          <w:lang w:val="en-GB"/>
        </w:rPr>
        <w:br/>
        <w:t xml:space="preserve">Each different type of barrel will respond differently to damage. </w:t>
      </w:r>
      <w:r>
        <w:t>Here's an overview: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5"/>
        <w:gridCol w:w="2440"/>
        <w:gridCol w:w="1072"/>
        <w:gridCol w:w="1120"/>
      </w:tblGrid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melee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bullets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explosions </w:t>
            </w:r>
          </w:p>
        </w:tc>
      </w:tr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“empty”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makes &lt;thunk&gt; or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none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destruction </w:t>
            </w:r>
          </w:p>
        </w:tc>
      </w:tr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“gas”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&lt;gong&gt; noises only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explosion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explosion </w:t>
            </w:r>
          </w:p>
        </w:tc>
      </w:tr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“oil”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(depending on whether the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leaks oil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explosion </w:t>
            </w:r>
          </w:p>
        </w:tc>
      </w:tr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 xml:space="preserve">“water” </w:t>
            </w:r>
          </w:p>
        </w:tc>
        <w:tc>
          <w:tcPr>
            <w:tcW w:w="0" w:type="auto"/>
            <w:vAlign w:val="center"/>
            <w:hideMark/>
          </w:tcPr>
          <w:p w:rsidR="006F1587" w:rsidRPr="006F1587" w:rsidRDefault="006F1587">
            <w:pPr>
              <w:rPr>
                <w:sz w:val="24"/>
                <w:szCs w:val="24"/>
                <w:lang w:val="en-GB"/>
              </w:rPr>
            </w:pPr>
            <w:r w:rsidRPr="006F1587">
              <w:rPr>
                <w:rFonts w:ascii="Arial" w:hAnsi="Arial" w:cs="Arial"/>
                <w:sz w:val="20"/>
                <w:szCs w:val="20"/>
                <w:lang w:val="en-GB"/>
              </w:rPr>
              <w:t xml:space="preserve">barrel is full or not)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leaks water 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destruction</w:t>
            </w:r>
          </w:p>
        </w:tc>
      </w:tr>
    </w:tbl>
    <w:p w:rsidR="006F1587" w:rsidRPr="006F1587" w:rsidRDefault="006F1587" w:rsidP="006F1587">
      <w:pPr>
        <w:rPr>
          <w:lang w:val="en-GB"/>
        </w:rPr>
      </w:pPr>
      <w:r w:rsidRPr="006F1587">
        <w:rPr>
          <w:lang w:val="en-GB"/>
        </w:rPr>
        <w:lastRenderedPageBreak/>
        <w:br/>
        <w:t>Additionally you can set another key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683"/>
      </w:tblGrid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KEY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VALUE</w:t>
            </w:r>
          </w:p>
        </w:tc>
      </w:tr>
      <w:tr w:rsidR="006F1587" w:rsidTr="006F1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t>spawnflags</w:t>
            </w:r>
          </w:p>
        </w:tc>
        <w:tc>
          <w:tcPr>
            <w:tcW w:w="0" w:type="auto"/>
            <w:vAlign w:val="center"/>
            <w:hideMark/>
          </w:tcPr>
          <w:p w:rsidR="006F1587" w:rsidRDefault="006F158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﻿</w:t>
            </w:r>
            <w:r>
              <w:t>1</w:t>
            </w:r>
          </w:p>
        </w:tc>
      </w:tr>
    </w:tbl>
    <w:p w:rsidR="006F1587" w:rsidRPr="006F1587" w:rsidRDefault="006F1587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1587">
        <w:rPr>
          <w:lang w:val="en-GB"/>
        </w:rPr>
        <w:br/>
        <w:t>This would make the barrel indestructible. Barrels will no longer be destroyed or explode because of bullets or other explosions.</w:t>
      </w:r>
      <w:bookmarkStart w:id="0" w:name="_GoBack"/>
      <w:bookmarkEnd w:id="0"/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There you go. You can download the pk3 from </w:t>
      </w:r>
      <w:hyperlink r:id="rId8" w:history="1">
        <w:r w:rsidRPr="00320E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THIS LINK</w:t>
        </w:r>
      </w:hyperlink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Its got the map inside the pk3 along with the </w:t>
      </w:r>
      <w:proofErr w:type="spellStart"/>
      <w:proofErr w:type="gram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bsp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</w:t>
      </w:r>
      <w:proofErr w:type="spellStart"/>
      <w:proofErr w:type="gram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ya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need a script! :) and all that good </w:t>
      </w:r>
      <w:proofErr w:type="spellStart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stuf</w:t>
      </w:r>
      <w:proofErr w:type="spellEnd"/>
      <w:r w:rsidRPr="00320E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320ED3" w:rsidRPr="00320ED3" w:rsidRDefault="00320ED3" w:rsidP="00320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20E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G'day all. </w:t>
      </w:r>
    </w:p>
    <w:p w:rsidR="007F436A" w:rsidRDefault="007F436A"/>
    <w:sectPr w:rsidR="007F4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68"/>
    <w:rsid w:val="00320ED3"/>
    <w:rsid w:val="006F1587"/>
    <w:rsid w:val="007F436A"/>
    <w:rsid w:val="0085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0E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ED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320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20ED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20ED3"/>
    <w:rPr>
      <w:i/>
      <w:iCs/>
    </w:rPr>
  </w:style>
  <w:style w:type="character" w:styleId="Strong">
    <w:name w:val="Strong"/>
    <w:basedOn w:val="DefaultParagraphFont"/>
    <w:uiPriority w:val="22"/>
    <w:qFormat/>
    <w:rsid w:val="00320E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D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0E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ED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320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20ED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20ED3"/>
    <w:rPr>
      <w:i/>
      <w:iCs/>
    </w:rPr>
  </w:style>
  <w:style w:type="character" w:styleId="Strong">
    <w:name w:val="Strong"/>
    <w:basedOn w:val="DefaultParagraphFont"/>
    <w:uiPriority w:val="22"/>
    <w:qFormat/>
    <w:rsid w:val="00320E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D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ttp:/bb.1asphost.com/ilikefungus/test_barrel.pk3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326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2014-01-04T18:51:00Z</dcterms:created>
  <dcterms:modified xsi:type="dcterms:W3CDTF">2014-01-10T11:47:00Z</dcterms:modified>
</cp:coreProperties>
</file>